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5F4E46" w:rsidRPr="004F10F4" w:rsidTr="00FB6D95">
        <w:tc>
          <w:tcPr>
            <w:tcW w:w="4961" w:type="dxa"/>
          </w:tcPr>
          <w:p w:rsidR="005F4E46" w:rsidRPr="004125FF" w:rsidRDefault="005F4E46" w:rsidP="00FB6D95">
            <w:pPr>
              <w:tabs>
                <w:tab w:val="left" w:pos="2833"/>
              </w:tabs>
              <w:rPr>
                <w:rFonts w:ascii="Times New Roman" w:hAnsi="Times New Roman"/>
              </w:rPr>
            </w:pPr>
          </w:p>
          <w:p w:rsidR="005F4E46" w:rsidRPr="004125FF" w:rsidRDefault="005F4E46" w:rsidP="00FB6D95">
            <w:pPr>
              <w:rPr>
                <w:rFonts w:ascii="Times New Roman" w:hAnsi="Times New Roman"/>
                <w:spacing w:val="-2"/>
              </w:rPr>
            </w:pPr>
          </w:p>
        </w:tc>
        <w:tc>
          <w:tcPr>
            <w:tcW w:w="4819" w:type="dxa"/>
          </w:tcPr>
          <w:p w:rsidR="005F4E46" w:rsidRPr="005F4E46" w:rsidRDefault="005F4E46" w:rsidP="005F4E46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5F4E46">
              <w:rPr>
                <w:rFonts w:ascii="Times New Roman" w:eastAsia="Calibri" w:hAnsi="Times New Roman" w:cs="Times New Roman"/>
                <w:spacing w:val="-1"/>
                <w:lang w:eastAsia="en-US"/>
              </w:rPr>
              <w:t>УТВЕРЖДЕНА</w:t>
            </w:r>
          </w:p>
          <w:p w:rsidR="005F4E46" w:rsidRPr="005F4E46" w:rsidRDefault="005F4E46" w:rsidP="005F4E46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5F4E46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постановлением </w:t>
            </w:r>
          </w:p>
          <w:p w:rsidR="005F4E46" w:rsidRPr="005F4E46" w:rsidRDefault="005F4E46" w:rsidP="005F4E46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5F4E46">
              <w:rPr>
                <w:rFonts w:ascii="Times New Roman" w:eastAsia="Calibri" w:hAnsi="Times New Roman" w:cs="Times New Roman"/>
                <w:spacing w:val="-1"/>
                <w:lang w:eastAsia="en-US"/>
              </w:rPr>
              <w:t>Администрации ЗАТО Северск</w:t>
            </w:r>
          </w:p>
          <w:p w:rsidR="005F4E46" w:rsidRPr="005F4E46" w:rsidRDefault="005F4E46" w:rsidP="005F4E46">
            <w:pPr>
              <w:tabs>
                <w:tab w:val="left" w:pos="2833"/>
              </w:tabs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5F4E46">
              <w:rPr>
                <w:rFonts w:ascii="Times New Roman" w:eastAsia="Calibri" w:hAnsi="Times New Roman" w:cs="Times New Roman"/>
                <w:spacing w:val="-1"/>
                <w:lang w:eastAsia="en-US"/>
              </w:rPr>
              <w:t>от ___________№  __________</w:t>
            </w:r>
          </w:p>
        </w:tc>
      </w:tr>
    </w:tbl>
    <w:p w:rsidR="005F4E46" w:rsidRPr="004125FF" w:rsidRDefault="005F4E46" w:rsidP="005F4E46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5F4E46" w:rsidRPr="004125FF" w:rsidRDefault="005F4E46" w:rsidP="005F4E46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5F4E46" w:rsidRPr="004125FF" w:rsidRDefault="005F4E46" w:rsidP="005F4E46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5F4E46" w:rsidRPr="004125FF" w:rsidRDefault="005F4E46" w:rsidP="005F4E46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5F4E46" w:rsidRPr="004125FF" w:rsidRDefault="005F4E46" w:rsidP="005F4E46">
      <w:pPr>
        <w:spacing w:before="53"/>
        <w:ind w:left="165" w:right="108"/>
        <w:jc w:val="center"/>
        <w:rPr>
          <w:rFonts w:ascii="Times New Roman" w:hAnsi="Times New Roman"/>
          <w:noProof/>
        </w:rPr>
      </w:pPr>
      <w:r w:rsidRPr="004125FF">
        <w:rPr>
          <w:rFonts w:ascii="Times New Roman" w:hAnsi="Times New Roman"/>
          <w:noProof/>
        </w:rPr>
        <w:drawing>
          <wp:inline distT="0" distB="0" distL="0" distR="0" wp14:anchorId="49D993E7" wp14:editId="3B0BE354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4E46" w:rsidRDefault="005F4E46" w:rsidP="005F4E46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5F4E46" w:rsidRPr="004125FF" w:rsidRDefault="005F4E46" w:rsidP="005F4E46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5F4E46" w:rsidRPr="004125FF" w:rsidRDefault="005F4E46" w:rsidP="005F4E46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СХЕМА ТЕПЛОСНАБЖЕНИЯ </w:t>
      </w:r>
    </w:p>
    <w:p w:rsidR="005F4E46" w:rsidRDefault="005F4E46" w:rsidP="005F4E46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ЗАКРЫТОГО АДМИНИСТРАТИВНО-ТЕРРИТОРИАЛЬНОГО ОБРАЗОВАНИЯ </w:t>
      </w:r>
    </w:p>
    <w:p w:rsidR="005F4E46" w:rsidRPr="004125FF" w:rsidRDefault="005F4E46" w:rsidP="005F4E46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СЕВЕРСК ДО 2035 ГОДА </w:t>
      </w:r>
    </w:p>
    <w:p w:rsidR="005F4E46" w:rsidRDefault="005F4E46" w:rsidP="005F4E46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</w:rPr>
        <w:t xml:space="preserve"> ГОД)</w:t>
      </w:r>
    </w:p>
    <w:p w:rsidR="005F4E46" w:rsidRPr="004125FF" w:rsidRDefault="005F4E46" w:rsidP="005F4E46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</w:p>
    <w:p w:rsidR="005F4E46" w:rsidRPr="004125FF" w:rsidRDefault="005F4E46" w:rsidP="005F4E46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Том 1</w:t>
      </w:r>
      <w:r>
        <w:rPr>
          <w:rFonts w:ascii="Times New Roman" w:eastAsia="Times New Roman" w:hAnsi="Times New Roman"/>
          <w:b/>
          <w:bCs/>
        </w:rPr>
        <w:t>7</w:t>
      </w:r>
    </w:p>
    <w:p w:rsidR="005F4E46" w:rsidRPr="005F4E46" w:rsidRDefault="005F4E46" w:rsidP="005F4E46">
      <w:pPr>
        <w:spacing w:line="360" w:lineRule="auto"/>
        <w:jc w:val="center"/>
        <w:rPr>
          <w:rFonts w:ascii="Times New Roman" w:eastAsia="Times New Roman" w:hAnsi="Times New Roman"/>
          <w:bCs/>
        </w:rPr>
      </w:pPr>
      <w:r w:rsidRPr="005F4E46">
        <w:rPr>
          <w:rFonts w:ascii="Times New Roman" w:eastAsia="Times New Roman" w:hAnsi="Times New Roman"/>
          <w:bCs/>
        </w:rPr>
        <w:t>ЗАМЕЧАНИЯ И ПРЕДЛОЖЕНИЯ К ПРОЕКТУ</w:t>
      </w:r>
    </w:p>
    <w:p w:rsidR="005F4E46" w:rsidRPr="00A622ED" w:rsidRDefault="005F4E46" w:rsidP="005F4E46">
      <w:pPr>
        <w:spacing w:line="360" w:lineRule="auto"/>
        <w:jc w:val="center"/>
        <w:rPr>
          <w:rFonts w:ascii="Times New Roman" w:eastAsia="Times New Roman" w:hAnsi="Times New Roman"/>
          <w:bCs/>
        </w:rPr>
      </w:pPr>
      <w:r w:rsidRPr="005F4E46">
        <w:rPr>
          <w:rFonts w:ascii="Times New Roman" w:eastAsia="Times New Roman" w:hAnsi="Times New Roman"/>
          <w:bCs/>
        </w:rPr>
        <w:t>СХЕМЫ ТЕПЛОСНАБЖЕНИЯ</w:t>
      </w:r>
    </w:p>
    <w:p w:rsidR="005F4E46" w:rsidRPr="00A622ED" w:rsidRDefault="005F4E46" w:rsidP="005F4E46">
      <w:pPr>
        <w:spacing w:line="360" w:lineRule="auto"/>
        <w:jc w:val="center"/>
        <w:rPr>
          <w:rFonts w:ascii="Times New Roman" w:eastAsia="Times New Roman" w:hAnsi="Times New Roman"/>
          <w:bCs/>
        </w:rPr>
      </w:pPr>
      <w:bookmarkStart w:id="1" w:name="_Toc405135444"/>
      <w:bookmarkStart w:id="2" w:name="_Toc405135656"/>
      <w:bookmarkStart w:id="3" w:name="_Toc405135870"/>
      <w:bookmarkStart w:id="4" w:name="_Toc405136084"/>
      <w:bookmarkStart w:id="5" w:name="_Toc405136481"/>
      <w:bookmarkStart w:id="6" w:name="_Toc405196154"/>
      <w:bookmarkStart w:id="7" w:name="_Toc411003101"/>
      <w:bookmarkStart w:id="8" w:name="_Toc418627352"/>
      <w:bookmarkStart w:id="9" w:name="_Toc418627534"/>
      <w:bookmarkStart w:id="10" w:name="_Toc418627900"/>
      <w:bookmarkStart w:id="11" w:name="_Toc418628083"/>
      <w:bookmarkStart w:id="12" w:name="_Toc418628267"/>
      <w:bookmarkStart w:id="13" w:name="_Toc418628452"/>
      <w:bookmarkStart w:id="14" w:name="_Toc437868048"/>
      <w:bookmarkStart w:id="15" w:name="_Toc441748938"/>
      <w:bookmarkStart w:id="16" w:name="_Toc441749191"/>
      <w:bookmarkStart w:id="17" w:name="_Toc441749449"/>
      <w:bookmarkStart w:id="18" w:name="_Toc441749657"/>
      <w:bookmarkStart w:id="19" w:name="_Toc441749948"/>
      <w:bookmarkStart w:id="20" w:name="_Toc441750360"/>
      <w:bookmarkStart w:id="21" w:name="_Toc441750565"/>
      <w:bookmarkStart w:id="22" w:name="_Toc459623898"/>
      <w:bookmarkStart w:id="23" w:name="_Toc466137139"/>
      <w:bookmarkStart w:id="24" w:name="_Toc466137381"/>
      <w:bookmarkStart w:id="25" w:name="_Toc466140128"/>
      <w:bookmarkStart w:id="26" w:name="_Toc466555877"/>
      <w:bookmarkStart w:id="27" w:name="_Toc498353513"/>
      <w:bookmarkStart w:id="28" w:name="_Toc500683606"/>
      <w:r w:rsidRPr="00A622ED">
        <w:rPr>
          <w:rFonts w:ascii="Times New Roman" w:eastAsia="Times New Roman" w:hAnsi="Times New Roman"/>
          <w:bCs/>
        </w:rPr>
        <w:t>(Обосновывающие материалы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A622ED">
        <w:rPr>
          <w:rFonts w:ascii="Times New Roman" w:eastAsia="Times New Roman" w:hAnsi="Times New Roman"/>
          <w:bCs/>
        </w:rPr>
        <w:t>)</w:t>
      </w:r>
    </w:p>
    <w:p w:rsidR="005F4E46" w:rsidRPr="004125FF" w:rsidRDefault="005F4E46" w:rsidP="005F4E46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</w:p>
    <w:p w:rsidR="005F4E46" w:rsidRPr="004125FF" w:rsidRDefault="005F4E46" w:rsidP="005F4E46">
      <w:pPr>
        <w:rPr>
          <w:rFonts w:ascii="Times New Roman" w:eastAsia="Times New Roman" w:hAnsi="Times New Roman"/>
          <w:b/>
          <w:bCs/>
        </w:rPr>
      </w:pPr>
    </w:p>
    <w:p w:rsidR="005F4E46" w:rsidRPr="004125FF" w:rsidRDefault="005F4E46" w:rsidP="005F4E46">
      <w:pPr>
        <w:rPr>
          <w:rFonts w:ascii="Times New Roman" w:eastAsia="Times New Roman" w:hAnsi="Times New Roman"/>
          <w:b/>
          <w:bCs/>
        </w:rPr>
      </w:pPr>
    </w:p>
    <w:p w:rsidR="005F4E46" w:rsidRDefault="005F4E46" w:rsidP="005F4E46">
      <w:pPr>
        <w:rPr>
          <w:rFonts w:ascii="Times New Roman" w:eastAsia="Times New Roman" w:hAnsi="Times New Roman"/>
          <w:b/>
          <w:bCs/>
        </w:rPr>
      </w:pPr>
    </w:p>
    <w:p w:rsidR="005F4E46" w:rsidRPr="004125FF" w:rsidRDefault="005F4E46" w:rsidP="005F4E46">
      <w:pPr>
        <w:rPr>
          <w:rFonts w:ascii="Times New Roman" w:eastAsia="Times New Roman" w:hAnsi="Times New Roman"/>
          <w:b/>
          <w:bCs/>
        </w:rPr>
      </w:pPr>
    </w:p>
    <w:p w:rsidR="005F4E46" w:rsidRPr="004125FF" w:rsidRDefault="005F4E46" w:rsidP="005F4E46">
      <w:pPr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>Разработчик: Общество с ограниченной ответственностью «НЭТ – Консалтинг»</w:t>
      </w:r>
    </w:p>
    <w:p w:rsidR="005F4E46" w:rsidRPr="004125FF" w:rsidRDefault="005F4E46" w:rsidP="005F4E46">
      <w:pPr>
        <w:rPr>
          <w:rFonts w:ascii="Times New Roman" w:eastAsia="Times New Roman" w:hAnsi="Times New Roman"/>
          <w:b/>
          <w:bCs/>
        </w:rPr>
      </w:pPr>
    </w:p>
    <w:p w:rsidR="005F4E46" w:rsidRPr="004125FF" w:rsidRDefault="005F4E46" w:rsidP="005F4E46">
      <w:pPr>
        <w:rPr>
          <w:rFonts w:ascii="Times New Roman" w:eastAsia="Times New Roman" w:hAnsi="Times New Roman"/>
          <w:b/>
          <w:bCs/>
        </w:rPr>
      </w:pPr>
    </w:p>
    <w:p w:rsidR="005F4E46" w:rsidRDefault="005F4E46" w:rsidP="005F4E46">
      <w:pPr>
        <w:jc w:val="center"/>
        <w:rPr>
          <w:rFonts w:ascii="Times New Roman" w:eastAsia="Times New Roman" w:hAnsi="Times New Roman"/>
          <w:b/>
          <w:bCs/>
        </w:rPr>
      </w:pPr>
    </w:p>
    <w:p w:rsidR="005F4E46" w:rsidRDefault="005F4E46" w:rsidP="005F4E46">
      <w:pPr>
        <w:jc w:val="center"/>
        <w:rPr>
          <w:rFonts w:ascii="Times New Roman" w:eastAsia="Times New Roman" w:hAnsi="Times New Roman"/>
          <w:b/>
          <w:bCs/>
        </w:rPr>
      </w:pPr>
    </w:p>
    <w:p w:rsidR="005F4E46" w:rsidRDefault="005F4E46" w:rsidP="005F4E46">
      <w:pPr>
        <w:jc w:val="center"/>
        <w:rPr>
          <w:rFonts w:ascii="Times New Roman" w:eastAsia="Times New Roman" w:hAnsi="Times New Roman"/>
          <w:b/>
          <w:bCs/>
        </w:rPr>
      </w:pPr>
    </w:p>
    <w:p w:rsidR="005F4E46" w:rsidRDefault="005F4E46" w:rsidP="005F4E46">
      <w:pPr>
        <w:jc w:val="center"/>
        <w:rPr>
          <w:rFonts w:ascii="Times New Roman" w:eastAsia="Times New Roman" w:hAnsi="Times New Roman"/>
          <w:b/>
          <w:bCs/>
        </w:rPr>
      </w:pPr>
    </w:p>
    <w:p w:rsidR="005F4E46" w:rsidRDefault="005F4E46" w:rsidP="005F4E46">
      <w:pPr>
        <w:jc w:val="center"/>
        <w:rPr>
          <w:rFonts w:ascii="Times New Roman" w:eastAsia="Times New Roman" w:hAnsi="Times New Roman"/>
          <w:b/>
          <w:bCs/>
        </w:rPr>
      </w:pPr>
    </w:p>
    <w:p w:rsidR="005F4E46" w:rsidRDefault="005F4E46" w:rsidP="005F4E46">
      <w:pPr>
        <w:jc w:val="center"/>
        <w:rPr>
          <w:rFonts w:ascii="Times New Roman" w:eastAsia="Times New Roman" w:hAnsi="Times New Roman"/>
          <w:b/>
          <w:bCs/>
        </w:rPr>
      </w:pPr>
    </w:p>
    <w:p w:rsidR="005F4E46" w:rsidRPr="004125FF" w:rsidRDefault="005F4E46" w:rsidP="005F4E46">
      <w:pPr>
        <w:jc w:val="center"/>
        <w:rPr>
          <w:rFonts w:ascii="Times New Roman" w:eastAsia="Times New Roman" w:hAnsi="Times New Roman"/>
          <w:b/>
          <w:bCs/>
        </w:rPr>
      </w:pPr>
    </w:p>
    <w:p w:rsidR="007B7837" w:rsidRDefault="005F4E46" w:rsidP="005F4E46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ascii="Times New Roman" w:eastAsia="Times New Roman" w:hAnsi="Times New Roman"/>
          <w:b/>
          <w:bCs/>
        </w:rPr>
        <w:t>Северск</w:t>
      </w:r>
      <w:r w:rsidRPr="004125FF">
        <w:rPr>
          <w:rFonts w:ascii="Times New Roman" w:eastAsia="Times New Roman" w:hAnsi="Times New Roman"/>
          <w:b/>
          <w:bCs/>
        </w:rPr>
        <w:t xml:space="preserve"> 2022</w:t>
      </w:r>
      <w:r w:rsidR="007B7837">
        <w:br w:type="page"/>
      </w:r>
    </w:p>
    <w:p w:rsidR="005F4E46" w:rsidRDefault="005F4E46" w:rsidP="008E76EB">
      <w:pPr>
        <w:pStyle w:val="1"/>
        <w:ind w:firstLine="0"/>
        <w:sectPr w:rsidR="005F4E46" w:rsidSect="005F4E46">
          <w:footerReference w:type="default" r:id="rId9"/>
          <w:pgSz w:w="11906" w:h="16838" w:code="9"/>
          <w:pgMar w:top="1134" w:right="567" w:bottom="1134" w:left="1134" w:header="709" w:footer="544" w:gutter="0"/>
          <w:cols w:space="708"/>
          <w:titlePg/>
          <w:docGrid w:linePitch="360"/>
        </w:sectPr>
      </w:pPr>
    </w:p>
    <w:tbl>
      <w:tblPr>
        <w:tblStyle w:val="a9"/>
        <w:tblW w:w="4663" w:type="pct"/>
        <w:tblLook w:val="04A0" w:firstRow="1" w:lastRow="0" w:firstColumn="1" w:lastColumn="0" w:noHBand="0" w:noVBand="1"/>
      </w:tblPr>
      <w:tblGrid>
        <w:gridCol w:w="816"/>
        <w:gridCol w:w="7634"/>
        <w:gridCol w:w="5339"/>
      </w:tblGrid>
      <w:tr w:rsidR="00FD680D" w:rsidRPr="00FD680D" w:rsidTr="00EB5998">
        <w:tc>
          <w:tcPr>
            <w:tcW w:w="296" w:type="pct"/>
          </w:tcPr>
          <w:p w:rsidR="00FD680D" w:rsidRPr="00FD680D" w:rsidRDefault="00725B9D" w:rsidP="008E76EB">
            <w:pPr>
              <w:pStyle w:val="1"/>
              <w:ind w:firstLine="0"/>
              <w:outlineLvl w:val="0"/>
            </w:pPr>
            <w:r>
              <w:lastRenderedPageBreak/>
              <w:br w:type="page"/>
            </w:r>
            <w:bookmarkStart w:id="29" w:name="sub_15"/>
            <w:bookmarkStart w:id="30" w:name="_Toc104477238"/>
            <w:r w:rsidR="00FD680D" w:rsidRPr="00FD680D">
              <w:t>№пп.</w:t>
            </w:r>
            <w:bookmarkEnd w:id="30"/>
          </w:p>
        </w:tc>
        <w:tc>
          <w:tcPr>
            <w:tcW w:w="2768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bookmarkStart w:id="31" w:name="_Toc104477239"/>
            <w:r w:rsidRPr="00FD680D">
              <w:t>Текст замечания/ предложения</w:t>
            </w:r>
            <w:bookmarkEnd w:id="31"/>
          </w:p>
        </w:tc>
        <w:tc>
          <w:tcPr>
            <w:tcW w:w="193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bookmarkStart w:id="32" w:name="_Toc104477240"/>
            <w:r w:rsidRPr="00FD680D">
              <w:t>Комментарий</w:t>
            </w:r>
            <w:bookmarkEnd w:id="32"/>
          </w:p>
        </w:tc>
      </w:tr>
      <w:tr w:rsidR="00FD680D" w:rsidRPr="00FD680D" w:rsidTr="00EB5998">
        <w:tc>
          <w:tcPr>
            <w:tcW w:w="29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  <w:rPr>
                <w:b w:val="0"/>
              </w:rPr>
            </w:pPr>
            <w:bookmarkStart w:id="33" w:name="_Toc104477241"/>
            <w:r w:rsidRPr="00FD680D">
              <w:rPr>
                <w:b w:val="0"/>
              </w:rPr>
              <w:t>1</w:t>
            </w:r>
            <w:bookmarkEnd w:id="33"/>
          </w:p>
        </w:tc>
        <w:tc>
          <w:tcPr>
            <w:tcW w:w="2768" w:type="pct"/>
          </w:tcPr>
          <w:p w:rsidR="00FD680D" w:rsidRPr="00FD680D" w:rsidRDefault="00FD680D" w:rsidP="00FD680D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34" w:name="_Toc104477242"/>
            <w:r w:rsidRPr="00FD680D">
              <w:rPr>
                <w:b w:val="0"/>
              </w:rPr>
              <w:t>Отсутствуют примеры гидравлического расчёта (из электронной модели схемы по отдельным направлениям магистралей с иллюстрациями в виде пьезометрических графиков</w:t>
            </w:r>
            <w:bookmarkEnd w:id="34"/>
          </w:p>
        </w:tc>
        <w:tc>
          <w:tcPr>
            <w:tcW w:w="1936" w:type="pct"/>
          </w:tcPr>
          <w:p w:rsidR="00FD680D" w:rsidRPr="00FD680D" w:rsidRDefault="00FD680D" w:rsidP="00675B1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35" w:name="_Toc104477243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</w:rPr>
              <w:t xml:space="preserve"> В Томе 3 обосновывающих материалов приведены примеры</w:t>
            </w:r>
            <w:r w:rsidR="00675B18">
              <w:rPr>
                <w:b w:val="0"/>
              </w:rPr>
              <w:t xml:space="preserve"> исходных данных и результатов </w:t>
            </w:r>
            <w:r>
              <w:rPr>
                <w:b w:val="0"/>
              </w:rPr>
              <w:t xml:space="preserve">расчета </w:t>
            </w:r>
            <w:r w:rsidR="00675B18">
              <w:rPr>
                <w:b w:val="0"/>
              </w:rPr>
              <w:t>электронной модели.</w:t>
            </w:r>
            <w:bookmarkEnd w:id="35"/>
          </w:p>
        </w:tc>
      </w:tr>
      <w:tr w:rsidR="00EB5998" w:rsidRPr="00FD680D" w:rsidTr="00EB5998">
        <w:tc>
          <w:tcPr>
            <w:tcW w:w="296" w:type="pct"/>
          </w:tcPr>
          <w:p w:rsidR="00EB5998" w:rsidRPr="00675B18" w:rsidRDefault="00EB5998" w:rsidP="00EB5998">
            <w:pPr>
              <w:pStyle w:val="1"/>
              <w:ind w:firstLine="0"/>
              <w:outlineLvl w:val="0"/>
              <w:rPr>
                <w:b w:val="0"/>
              </w:rPr>
            </w:pPr>
            <w:bookmarkStart w:id="36" w:name="_Toc104477244"/>
            <w:r w:rsidRPr="00675B18">
              <w:rPr>
                <w:b w:val="0"/>
              </w:rPr>
              <w:t>2</w:t>
            </w:r>
            <w:bookmarkEnd w:id="36"/>
          </w:p>
        </w:tc>
        <w:tc>
          <w:tcPr>
            <w:tcW w:w="2768" w:type="pct"/>
          </w:tcPr>
          <w:p w:rsidR="00EB5998" w:rsidRPr="00675B18" w:rsidRDefault="00EB5998" w:rsidP="00EB599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37" w:name="_Toc104477245"/>
            <w:r>
              <w:rPr>
                <w:b w:val="0"/>
              </w:rPr>
              <w:t>Отсутствует упрощенная схема магистралей тепловых сетей от выводов ТЭЦ АО «РИР»</w:t>
            </w:r>
            <w:bookmarkEnd w:id="37"/>
            <w:r>
              <w:rPr>
                <w:b w:val="0"/>
              </w:rPr>
              <w:t xml:space="preserve"> </w:t>
            </w:r>
          </w:p>
        </w:tc>
        <w:tc>
          <w:tcPr>
            <w:tcW w:w="1936" w:type="pct"/>
          </w:tcPr>
          <w:p w:rsidR="00EB5998" w:rsidRPr="00675B18" w:rsidRDefault="00EB5998" w:rsidP="00EB599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38" w:name="_Toc104477246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  <w:bookmarkEnd w:id="38"/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39" w:name="_Toc104477247"/>
            <w:r w:rsidRPr="00675B18">
              <w:rPr>
                <w:b w:val="0"/>
              </w:rPr>
              <w:t>3</w:t>
            </w:r>
            <w:bookmarkEnd w:id="39"/>
          </w:p>
        </w:tc>
        <w:tc>
          <w:tcPr>
            <w:tcW w:w="2768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40" w:name="_Toc104477248"/>
            <w:r>
              <w:rPr>
                <w:b w:val="0"/>
              </w:rPr>
              <w:t>Отсутствует анализ соответствия утвержденного и фактичекского графиков температуры сетевой воды за 2019г. (на базе суточных ведомостей показаний узлов учета тепловой энергии БУ-1 ТЭЦ АО «РИР»)</w:t>
            </w:r>
            <w:bookmarkEnd w:id="40"/>
          </w:p>
        </w:tc>
        <w:tc>
          <w:tcPr>
            <w:tcW w:w="1936" w:type="pct"/>
          </w:tcPr>
          <w:p w:rsidR="008559BF" w:rsidRPr="00675B18" w:rsidRDefault="008559BF" w:rsidP="002F3312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41" w:name="_Toc104477249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2F3312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 Обосновывающих материалов</w:t>
            </w:r>
            <w:bookmarkEnd w:id="41"/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42" w:name="_Toc104477250"/>
            <w:r w:rsidRPr="00675B18">
              <w:rPr>
                <w:b w:val="0"/>
              </w:rPr>
              <w:t>4</w:t>
            </w:r>
            <w:bookmarkEnd w:id="42"/>
          </w:p>
        </w:tc>
        <w:tc>
          <w:tcPr>
            <w:tcW w:w="2768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43" w:name="_Toc104477251"/>
            <w:r>
              <w:rPr>
                <w:b w:val="0"/>
              </w:rPr>
              <w:t xml:space="preserve">Отсутствует анализ соответствия расчетных договорных нагрузок потребителей и фактических нагрузок по данным приборов учета приведенных к расчетной температуре наружного воздуха минус 39 </w:t>
            </w:r>
            <w:r w:rsidRPr="00675B18">
              <w:rPr>
                <w:b w:val="0"/>
                <w:vertAlign w:val="superscript"/>
              </w:rPr>
              <w:t>0</w:t>
            </w:r>
            <w:r>
              <w:rPr>
                <w:b w:val="0"/>
              </w:rPr>
              <w:t>С за 2019г.</w:t>
            </w:r>
            <w:bookmarkEnd w:id="43"/>
            <w:r>
              <w:rPr>
                <w:b w:val="0"/>
              </w:rPr>
              <w:t xml:space="preserve"> </w:t>
            </w:r>
          </w:p>
        </w:tc>
        <w:tc>
          <w:tcPr>
            <w:tcW w:w="1936" w:type="pct"/>
          </w:tcPr>
          <w:p w:rsidR="008559BF" w:rsidRPr="00675B18" w:rsidRDefault="008559BF" w:rsidP="006C6B57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44" w:name="_Toc104477252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6C6B57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 Обосновывающих материалов</w:t>
            </w:r>
            <w:bookmarkEnd w:id="44"/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45" w:name="_Toc104477253"/>
            <w:r>
              <w:rPr>
                <w:b w:val="0"/>
              </w:rPr>
              <w:t>5</w:t>
            </w:r>
            <w:bookmarkEnd w:id="45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46" w:name="_Toc104477254"/>
            <w:r>
              <w:rPr>
                <w:b w:val="0"/>
              </w:rPr>
              <w:t>Необходим более детальный анализ составляющих теплового баланса на перспективном периоде за 2021-2035г.</w:t>
            </w:r>
            <w:bookmarkEnd w:id="46"/>
          </w:p>
        </w:tc>
        <w:tc>
          <w:tcPr>
            <w:tcW w:w="1936" w:type="pct"/>
          </w:tcPr>
          <w:p w:rsidR="008559BF" w:rsidRPr="00675B18" w:rsidRDefault="008559BF" w:rsidP="006C6B57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47" w:name="_Toc104477255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6C6B57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2 Обосновывающих материалов</w:t>
            </w:r>
            <w:bookmarkEnd w:id="47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48" w:name="_Toc104477256"/>
            <w:r>
              <w:rPr>
                <w:b w:val="0"/>
              </w:rPr>
              <w:t>6</w:t>
            </w:r>
            <w:bookmarkEnd w:id="48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49" w:name="_Toc104477257"/>
            <w:r>
              <w:rPr>
                <w:b w:val="0"/>
              </w:rPr>
              <w:t>Пересчитать стоимость мероприятий на текущие цены по реконструкции тепловых сетей, подлежащих замене в связи с исчерпанием эксплуатационного ресурса</w:t>
            </w:r>
            <w:bookmarkEnd w:id="49"/>
          </w:p>
        </w:tc>
        <w:tc>
          <w:tcPr>
            <w:tcW w:w="1936" w:type="pct"/>
          </w:tcPr>
          <w:p w:rsidR="008559BF" w:rsidRPr="00675B18" w:rsidRDefault="008559BF" w:rsidP="002F3312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50" w:name="_Toc104477258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 xml:space="preserve">Данные представлены в Томе </w:t>
            </w:r>
            <w:r w:rsidR="002F3312">
              <w:rPr>
                <w:b w:val="0"/>
              </w:rPr>
              <w:t>8</w:t>
            </w:r>
            <w:r>
              <w:rPr>
                <w:b w:val="0"/>
              </w:rPr>
              <w:t xml:space="preserve"> Обосновывающих материалов</w:t>
            </w:r>
            <w:bookmarkEnd w:id="50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51" w:name="_Toc104477259"/>
            <w:r>
              <w:rPr>
                <w:b w:val="0"/>
              </w:rPr>
              <w:t>7</w:t>
            </w:r>
            <w:bookmarkEnd w:id="51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52" w:name="_Toc104477260"/>
            <w:r>
              <w:rPr>
                <w:b w:val="0"/>
              </w:rPr>
              <w:t>Не приведены данные о показателях повреждаемости на тепловых сетях ЗАТО Северск за 2016-2018 годы.</w:t>
            </w:r>
            <w:bookmarkEnd w:id="52"/>
            <w:r>
              <w:rPr>
                <w:b w:val="0"/>
              </w:rPr>
              <w:t xml:space="preserve"> 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53" w:name="_Toc104477261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  <w:bookmarkEnd w:id="53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54" w:name="_Toc104477262"/>
            <w:r>
              <w:rPr>
                <w:b w:val="0"/>
              </w:rPr>
              <w:t>8</w:t>
            </w:r>
            <w:bookmarkEnd w:id="54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55" w:name="_Toc104477263"/>
            <w:r>
              <w:rPr>
                <w:b w:val="0"/>
              </w:rPr>
              <w:t>Не приведены данные о показателях восстановления на тепловых сетях ЗАТО Северск за 2016-2018 годы.</w:t>
            </w:r>
            <w:bookmarkEnd w:id="55"/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56" w:name="_Toc104477264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  <w:bookmarkEnd w:id="56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57" w:name="_Toc104477265"/>
            <w:r>
              <w:rPr>
                <w:b w:val="0"/>
              </w:rPr>
              <w:t>9</w:t>
            </w:r>
            <w:bookmarkEnd w:id="57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58" w:name="_Toc104477266"/>
            <w:r>
              <w:rPr>
                <w:b w:val="0"/>
              </w:rPr>
              <w:t>Расчет вероятности безотказной работы выполнен не для всех магистральных трубопроводов ЗАТО Северск</w:t>
            </w:r>
            <w:bookmarkEnd w:id="58"/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59" w:name="_Toc104477267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Результаты расчета представлены в Томе 11 Обосновывающих материалов</w:t>
            </w:r>
            <w:bookmarkEnd w:id="59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60" w:name="_Toc104477268"/>
            <w:r>
              <w:rPr>
                <w:b w:val="0"/>
              </w:rPr>
              <w:t>10</w:t>
            </w:r>
            <w:bookmarkEnd w:id="60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61" w:name="_Toc104477269"/>
            <w:r>
              <w:rPr>
                <w:b w:val="0"/>
              </w:rPr>
              <w:t>Отсутствуют данные о показателях надежности узлов расчетной схемы, к которым подключены потребители тепловой энергии ЗАТО Северск</w:t>
            </w:r>
            <w:bookmarkEnd w:id="61"/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62" w:name="_Toc104477270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  <w:bookmarkEnd w:id="62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63" w:name="_Toc104477271"/>
            <w:r>
              <w:rPr>
                <w:b w:val="0"/>
              </w:rPr>
              <w:t>11</w:t>
            </w:r>
            <w:bookmarkEnd w:id="63"/>
          </w:p>
        </w:tc>
        <w:tc>
          <w:tcPr>
            <w:tcW w:w="2768" w:type="pct"/>
          </w:tcPr>
          <w:p w:rsidR="008559BF" w:rsidRPr="00977946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64" w:name="_Toc104477272"/>
            <w:r w:rsidRPr="00977946">
              <w:rPr>
                <w:b w:val="0"/>
              </w:rPr>
              <w:t>Не представлено расчетное обоснование карты зон с ненормативной надежностью теплоснабжения потребителей ЗАТО Северск</w:t>
            </w:r>
            <w:bookmarkEnd w:id="64"/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65" w:name="_Toc104477273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Обоснование представлено в Томе 11 Обосновывающих материалов</w:t>
            </w:r>
            <w:bookmarkEnd w:id="65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66" w:name="_Toc104477274"/>
            <w:r>
              <w:rPr>
                <w:b w:val="0"/>
              </w:rPr>
              <w:t>12</w:t>
            </w:r>
            <w:bookmarkEnd w:id="66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67" w:name="_Toc104477275"/>
            <w:r>
              <w:rPr>
                <w:b w:val="0"/>
              </w:rPr>
              <w:t>Отсутствует анализ причин, приводящих к состоянию ненормативной надежности теплоснабжения ЗАТО Северск</w:t>
            </w:r>
            <w:bookmarkEnd w:id="67"/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68" w:name="_Toc104477276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Pr="00EB5998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11 Обосновывающих материалов</w:t>
            </w:r>
            <w:bookmarkEnd w:id="68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69" w:name="_Toc104477277"/>
            <w:r>
              <w:rPr>
                <w:b w:val="0"/>
              </w:rPr>
              <w:t>13</w:t>
            </w:r>
            <w:bookmarkEnd w:id="69"/>
          </w:p>
        </w:tc>
        <w:tc>
          <w:tcPr>
            <w:tcW w:w="2768" w:type="pct"/>
          </w:tcPr>
          <w:p w:rsidR="008559BF" w:rsidRPr="008E1E10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70" w:name="_Toc104477278"/>
            <w:r>
              <w:rPr>
                <w:b w:val="0"/>
              </w:rPr>
              <w:t>Не представлен перечень актуальных мероприятий по замене участков тепловых сетей со сверхнормативным сроком эксплуатации ЗАТО Северск</w:t>
            </w:r>
            <w:bookmarkEnd w:id="70"/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71" w:name="_Toc104477279"/>
            <w:r w:rsidRPr="00EB5998">
              <w:rPr>
                <w:b w:val="0"/>
                <w:i/>
              </w:rPr>
              <w:t>Замечание учтено.</w:t>
            </w:r>
            <w:r w:rsidRPr="00EB5998">
              <w:rPr>
                <w:b w:val="0"/>
              </w:rPr>
              <w:t xml:space="preserve"> </w:t>
            </w:r>
            <w:r>
              <w:rPr>
                <w:b w:val="0"/>
              </w:rPr>
              <w:t>Перечень</w:t>
            </w:r>
            <w:r w:rsidRPr="00EB5998">
              <w:rPr>
                <w:b w:val="0"/>
              </w:rPr>
              <w:t xml:space="preserve"> представлен в Томе 11 Обосновывающих материалов</w:t>
            </w:r>
            <w:bookmarkEnd w:id="71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72" w:name="_Toc104477280"/>
            <w:r>
              <w:rPr>
                <w:b w:val="0"/>
              </w:rPr>
              <w:t>14</w:t>
            </w:r>
            <w:bookmarkEnd w:id="72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73" w:name="_Toc104477281"/>
            <w:r>
              <w:rPr>
                <w:b w:val="0"/>
              </w:rPr>
              <w:t>Описание зон деятельности (эксплуатационной ответственности) теплоснабжающих и теплосетевых организаций, актуализировать инфор</w:t>
            </w:r>
            <w:r>
              <w:rPr>
                <w:b w:val="0"/>
              </w:rPr>
              <w:lastRenderedPageBreak/>
              <w:t>мацию.</w:t>
            </w:r>
            <w:bookmarkEnd w:id="73"/>
          </w:p>
        </w:tc>
        <w:tc>
          <w:tcPr>
            <w:tcW w:w="1936" w:type="pct"/>
          </w:tcPr>
          <w:p w:rsidR="008559BF" w:rsidRPr="00EB599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74" w:name="_Toc104477282"/>
            <w:r w:rsidRPr="00EB5998">
              <w:rPr>
                <w:b w:val="0"/>
                <w:i/>
              </w:rPr>
              <w:lastRenderedPageBreak/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 xml:space="preserve">Актуализированная информация представлена в Томе 1 Обосновывающих </w:t>
            </w:r>
            <w:r>
              <w:rPr>
                <w:b w:val="0"/>
              </w:rPr>
              <w:lastRenderedPageBreak/>
              <w:t>материалов</w:t>
            </w:r>
            <w:bookmarkEnd w:id="74"/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75" w:name="_Toc104477283"/>
            <w:r>
              <w:rPr>
                <w:b w:val="0"/>
              </w:rPr>
              <w:lastRenderedPageBreak/>
              <w:t>15</w:t>
            </w:r>
            <w:bookmarkEnd w:id="75"/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76" w:name="_Toc104477284"/>
            <w:r>
              <w:rPr>
                <w:b w:val="0"/>
              </w:rPr>
              <w:t>Способы регулирования отпуска тепловой энергии от ТЭЦ с обоснованием выбора графика изменения температур и расхода теплоносителя в зависимости от температуры наружного воздуха, дублируется информация с ниже изложенной</w:t>
            </w:r>
            <w:bookmarkEnd w:id="76"/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bookmarkStart w:id="77" w:name="_Toc104477285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Pr="00EB5998">
              <w:rPr>
                <w:b w:val="0"/>
              </w:rPr>
              <w:t xml:space="preserve">Дублирование </w:t>
            </w:r>
            <w:r>
              <w:rPr>
                <w:b w:val="0"/>
              </w:rPr>
              <w:t>устранено.</w:t>
            </w:r>
            <w:bookmarkEnd w:id="77"/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bookmarkStart w:id="78" w:name="_Toc104477286"/>
            <w:r>
              <w:rPr>
                <w:b w:val="0"/>
              </w:rPr>
              <w:t>16</w:t>
            </w:r>
            <w:bookmarkEnd w:id="78"/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79" w:name="_Toc104477287"/>
            <w:r>
              <w:rPr>
                <w:b w:val="0"/>
              </w:rPr>
              <w:t>Характеристики состояния золоотвалов, актуализировать информацию</w:t>
            </w:r>
            <w:bookmarkEnd w:id="79"/>
            <w:r>
              <w:rPr>
                <w:b w:val="0"/>
              </w:rPr>
              <w:t xml:space="preserve"> 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80" w:name="_Toc104477288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  <w:bookmarkEnd w:id="80"/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bookmarkStart w:id="81" w:name="_Toc104477289"/>
            <w:r>
              <w:rPr>
                <w:b w:val="0"/>
              </w:rPr>
              <w:t>17</w:t>
            </w:r>
            <w:bookmarkEnd w:id="81"/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82" w:name="_Toc104477290"/>
            <w:r>
              <w:rPr>
                <w:b w:val="0"/>
              </w:rPr>
              <w:t>Описание видов резервного и аварийного топлива и возможности их обеспечения в соответствии с нормативными требованиями, актуализировать информацию</w:t>
            </w:r>
            <w:bookmarkEnd w:id="82"/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83" w:name="_Toc104477291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  <w:bookmarkEnd w:id="83"/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bookmarkStart w:id="84" w:name="_Toc104477292"/>
            <w:r>
              <w:rPr>
                <w:b w:val="0"/>
              </w:rPr>
              <w:t>18</w:t>
            </w:r>
            <w:bookmarkEnd w:id="84"/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85" w:name="_Toc104477293"/>
            <w:r>
              <w:rPr>
                <w:b w:val="0"/>
              </w:rPr>
              <w:t>Цены (тарифы) в сфере теплоснабжения, актуализировать информацию</w:t>
            </w:r>
            <w:bookmarkEnd w:id="85"/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86" w:name="_Toc104477294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  <w:bookmarkEnd w:id="86"/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bookmarkStart w:id="87" w:name="_Toc104477295"/>
            <w:r>
              <w:rPr>
                <w:b w:val="0"/>
              </w:rPr>
              <w:t>19</w:t>
            </w:r>
            <w:bookmarkEnd w:id="87"/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88" w:name="_Toc104477296"/>
            <w:r>
              <w:rPr>
                <w:b w:val="0"/>
              </w:rPr>
              <w:t>Мастер план развития теплоснабжения города, не достаточная проработка альтернативных сценариев</w:t>
            </w:r>
            <w:bookmarkEnd w:id="88"/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bookmarkStart w:id="89" w:name="_Toc104477297"/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5 Обосновывающих материалов</w:t>
            </w:r>
            <w:bookmarkEnd w:id="89"/>
          </w:p>
        </w:tc>
      </w:tr>
      <w:bookmarkEnd w:id="29"/>
    </w:tbl>
    <w:p w:rsidR="000B6E27" w:rsidRDefault="000B6E27" w:rsidP="008E1E10">
      <w:pPr>
        <w:pStyle w:val="1"/>
      </w:pPr>
    </w:p>
    <w:sectPr w:rsidR="000B6E27" w:rsidSect="006C6B57">
      <w:pgSz w:w="16838" w:h="11906" w:orient="landscape" w:code="9"/>
      <w:pgMar w:top="1134" w:right="1134" w:bottom="567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F19" w:rsidRDefault="00192F19">
      <w:r>
        <w:separator/>
      </w:r>
    </w:p>
  </w:endnote>
  <w:endnote w:type="continuationSeparator" w:id="0">
    <w:p w:rsidR="00192F19" w:rsidRDefault="0019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2002960"/>
      <w:docPartObj>
        <w:docPartGallery w:val="Page Numbers (Bottom of Page)"/>
        <w:docPartUnique/>
      </w:docPartObj>
    </w:sdtPr>
    <w:sdtEndPr/>
    <w:sdtContent>
      <w:p w:rsidR="00FD680D" w:rsidRDefault="00FD680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E46">
          <w:rPr>
            <w:noProof/>
          </w:rPr>
          <w:t>3</w:t>
        </w:r>
        <w:r>
          <w:fldChar w:fldCharType="end"/>
        </w:r>
      </w:p>
    </w:sdtContent>
  </w:sdt>
  <w:p w:rsidR="00FD680D" w:rsidRDefault="00FD680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F19" w:rsidRDefault="00192F19">
      <w:r>
        <w:separator/>
      </w:r>
    </w:p>
  </w:footnote>
  <w:footnote w:type="continuationSeparator" w:id="0">
    <w:p w:rsidR="00192F19" w:rsidRDefault="00192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011B0"/>
    <w:multiLevelType w:val="hybridMultilevel"/>
    <w:tmpl w:val="6E566A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8375B80"/>
    <w:multiLevelType w:val="hybridMultilevel"/>
    <w:tmpl w:val="03320176"/>
    <w:lvl w:ilvl="0" w:tplc="EFECE230">
      <w:numFmt w:val="bullet"/>
      <w:lvlText w:val="–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364F"/>
    <w:multiLevelType w:val="hybridMultilevel"/>
    <w:tmpl w:val="41B8A9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6"/>
    <w:rsid w:val="0000280D"/>
    <w:rsid w:val="00035639"/>
    <w:rsid w:val="00064877"/>
    <w:rsid w:val="00066CCD"/>
    <w:rsid w:val="000B44AD"/>
    <w:rsid w:val="000B6E27"/>
    <w:rsid w:val="00142AB3"/>
    <w:rsid w:val="00191180"/>
    <w:rsid w:val="00192F19"/>
    <w:rsid w:val="001B7CAD"/>
    <w:rsid w:val="001E0AEB"/>
    <w:rsid w:val="001F1357"/>
    <w:rsid w:val="0022395C"/>
    <w:rsid w:val="00226923"/>
    <w:rsid w:val="002331AA"/>
    <w:rsid w:val="0028324D"/>
    <w:rsid w:val="002A2753"/>
    <w:rsid w:val="002C67E1"/>
    <w:rsid w:val="002D37AE"/>
    <w:rsid w:val="002F3312"/>
    <w:rsid w:val="00300645"/>
    <w:rsid w:val="003442B2"/>
    <w:rsid w:val="00376C6B"/>
    <w:rsid w:val="003A13EF"/>
    <w:rsid w:val="003F2841"/>
    <w:rsid w:val="00486696"/>
    <w:rsid w:val="0049004D"/>
    <w:rsid w:val="004A280E"/>
    <w:rsid w:val="004D2ED7"/>
    <w:rsid w:val="004E1130"/>
    <w:rsid w:val="00505284"/>
    <w:rsid w:val="0051164A"/>
    <w:rsid w:val="00525DD7"/>
    <w:rsid w:val="005306AD"/>
    <w:rsid w:val="005310E5"/>
    <w:rsid w:val="00555BD2"/>
    <w:rsid w:val="00557527"/>
    <w:rsid w:val="005E6DD0"/>
    <w:rsid w:val="005F3127"/>
    <w:rsid w:val="005F3148"/>
    <w:rsid w:val="005F4E46"/>
    <w:rsid w:val="00603CE4"/>
    <w:rsid w:val="00614ACA"/>
    <w:rsid w:val="00630AE4"/>
    <w:rsid w:val="0065718E"/>
    <w:rsid w:val="00675B18"/>
    <w:rsid w:val="00681FBD"/>
    <w:rsid w:val="00682ABD"/>
    <w:rsid w:val="006946FE"/>
    <w:rsid w:val="00694EEF"/>
    <w:rsid w:val="006C6B57"/>
    <w:rsid w:val="006E0222"/>
    <w:rsid w:val="00703596"/>
    <w:rsid w:val="0070732A"/>
    <w:rsid w:val="00725B9D"/>
    <w:rsid w:val="00744B31"/>
    <w:rsid w:val="0077578C"/>
    <w:rsid w:val="0078095F"/>
    <w:rsid w:val="007A1D5E"/>
    <w:rsid w:val="007B321B"/>
    <w:rsid w:val="007B7837"/>
    <w:rsid w:val="00801183"/>
    <w:rsid w:val="00815323"/>
    <w:rsid w:val="00825A95"/>
    <w:rsid w:val="008316CD"/>
    <w:rsid w:val="008434FC"/>
    <w:rsid w:val="008559BF"/>
    <w:rsid w:val="008B4BE9"/>
    <w:rsid w:val="008D1C65"/>
    <w:rsid w:val="008E1E10"/>
    <w:rsid w:val="008E76EB"/>
    <w:rsid w:val="00977946"/>
    <w:rsid w:val="009916DE"/>
    <w:rsid w:val="009E563E"/>
    <w:rsid w:val="009F705C"/>
    <w:rsid w:val="00A36ED4"/>
    <w:rsid w:val="00A50731"/>
    <w:rsid w:val="00A82CBE"/>
    <w:rsid w:val="00AA257C"/>
    <w:rsid w:val="00AC2D95"/>
    <w:rsid w:val="00AC6C7B"/>
    <w:rsid w:val="00B04F4B"/>
    <w:rsid w:val="00B61322"/>
    <w:rsid w:val="00B64B38"/>
    <w:rsid w:val="00B90808"/>
    <w:rsid w:val="00B94659"/>
    <w:rsid w:val="00BB232D"/>
    <w:rsid w:val="00BE2806"/>
    <w:rsid w:val="00BE4D33"/>
    <w:rsid w:val="00C00C75"/>
    <w:rsid w:val="00C22CB5"/>
    <w:rsid w:val="00C33113"/>
    <w:rsid w:val="00C34A16"/>
    <w:rsid w:val="00C3700C"/>
    <w:rsid w:val="00C679B8"/>
    <w:rsid w:val="00C77BE3"/>
    <w:rsid w:val="00C8406A"/>
    <w:rsid w:val="00C845E4"/>
    <w:rsid w:val="00C86591"/>
    <w:rsid w:val="00CA6F34"/>
    <w:rsid w:val="00CB5E64"/>
    <w:rsid w:val="00CB7AE6"/>
    <w:rsid w:val="00CC18CC"/>
    <w:rsid w:val="00CC50DE"/>
    <w:rsid w:val="00CD3E90"/>
    <w:rsid w:val="00D1106A"/>
    <w:rsid w:val="00D328F0"/>
    <w:rsid w:val="00D35752"/>
    <w:rsid w:val="00D6732B"/>
    <w:rsid w:val="00DA0984"/>
    <w:rsid w:val="00DA34E1"/>
    <w:rsid w:val="00E24536"/>
    <w:rsid w:val="00E26468"/>
    <w:rsid w:val="00E53CEF"/>
    <w:rsid w:val="00E6375E"/>
    <w:rsid w:val="00E67D15"/>
    <w:rsid w:val="00E820C8"/>
    <w:rsid w:val="00EB5998"/>
    <w:rsid w:val="00EC427A"/>
    <w:rsid w:val="00EF1F04"/>
    <w:rsid w:val="00F05E55"/>
    <w:rsid w:val="00F1123C"/>
    <w:rsid w:val="00F143F7"/>
    <w:rsid w:val="00F230D9"/>
    <w:rsid w:val="00F8459A"/>
    <w:rsid w:val="00F853B2"/>
    <w:rsid w:val="00FD2875"/>
    <w:rsid w:val="00FD680D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CADE3"/>
  <w15:docId w15:val="{7E9C01E4-9BAB-4FCF-8165-B4512B92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8E76EB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76EB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  <w:lang w:val="x-none" w:eastAsia="x-none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  <w:lang w:val="x-none" w:eastAsia="x-none"/>
    </w:rPr>
  </w:style>
  <w:style w:type="paragraph" w:styleId="a8">
    <w:name w:val="TOC Heading"/>
    <w:basedOn w:val="1"/>
    <w:next w:val="a"/>
    <w:uiPriority w:val="39"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B94659"/>
    <w:pPr>
      <w:tabs>
        <w:tab w:val="right" w:leader="dot" w:pos="10196"/>
      </w:tabs>
      <w:spacing w:line="360" w:lineRule="auto"/>
      <w:ind w:left="397" w:firstLine="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67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76C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D0FB1-35D3-4DA5-AE4B-42E01B3A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Савостьянова Людмила Викторовна</dc:creator>
  <cp:lastModifiedBy>Denis Melnikov</cp:lastModifiedBy>
  <cp:revision>3</cp:revision>
  <dcterms:created xsi:type="dcterms:W3CDTF">2021-08-31T06:57:00Z</dcterms:created>
  <dcterms:modified xsi:type="dcterms:W3CDTF">2022-05-26T10:07:00Z</dcterms:modified>
</cp:coreProperties>
</file>